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BE58" w14:textId="2879774D" w:rsidR="00A13451" w:rsidRPr="005F67F2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5F67F2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5F67F2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090DFF7A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790EA610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42059D3D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6C6DF683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5196F91F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27E00C14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593C31BB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754CC44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1D1390FF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12AE440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4273AB2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6A793035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463B60E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6F02781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4CC58D81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51D2599D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0DC4CE61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522E19C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4D9EFBF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67363B4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268D043C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0AE84BCA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инженерно – геодезических изысканиях, инженерно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0CB03DA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проектно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60391AA2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09BFAE31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198A5283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6A8C34B8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1FCF5B7A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70F5089F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0358A989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7B6CA44A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11E79B94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7D48376E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56837FC7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0DC9E936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16047005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434A3A85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11B3DDD4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3C51DBDE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2B6CA2ED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01B31852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4EB8BA6F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1FD51A75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4D64B4B9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2B75FC38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6859B01B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53C5EBC0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20CD3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2DFF4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683A9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58E5B313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7F13C115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33E33306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2E293257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7D7D002E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3F7CD6FA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33500ECF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2947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3FA6E21E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FACF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6A152D4E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2DE3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5F67F2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9FD0"/>
  <w15:docId w15:val="{2ECA532E-E548-4C87-8646-B052C0A8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2024-12-27T12:47:00Z</dcterms:modified>
</cp:coreProperties>
</file>